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3" w:rsidRPr="00765703" w:rsidRDefault="00765703" w:rsidP="00765703">
      <w:pPr>
        <w:spacing w:after="0" w:line="240" w:lineRule="auto"/>
        <w:ind w:left="-567"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мероприятий по противодействию коррупции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 г. в Министерстве культуры Республики Дагестан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противодействию коррупции в 2019 г. в Министерстве культуры Республики Дагестан (далее – Министерство) осуществлялась в соответствии с Федеральным законом от 25 декабря 2008 г. № 273 ФЗ «О противодействии коррупции», Законом Республики Дагестан от 7 апреля 2009 г. № 21 «О противодействии коррупции в Республике Дагестан», Планом противодействия коррупции Министерства культуры Республики Дагестан на 2018-2020 годы, утвержденным приказом Министерства от 19.10.2018 г. № 366 – од., Программой Министерства культуры Республики Дагестан по реализации антикоррупционной политики на 2019 – 2024 годы, утвержденной приказом Министерства культуры Республики Дагестан от 31 января 2019 г. № 25 – од.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в отчетном периоде разработаны и утверждены ряд ведомственных нормативных правовых актов в сфере противодействия коррупции, в частности издан приказ о мерах по обеспечению требований об использовании специального программного обеспечения «Справки БК» в Министерстве культуры Республики Дагестан, вводящий указанное требование с 01.01.2019 г. Ответственным должностным лицом Министерства обеспечена установка, ввод в эксплуатацию и надлежащее функционирование СПО «Справки БК» в Министерстве. Кроме того, для лиц, претендующих на замещение должностей государственной гражданской службы в Министерстве, на официальном сайте Министерства размещена ссылка для установки СПО «Справки БК». В ходе декларационной кампании 2019 г. (за отчетный 2018 г.) всеми руководителями подведомственных организаций Министерства и государственными гражданскими служащими Министерства были представлены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с использованием СПО «Справки БК».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уполномоченным лицом отдела государственной службы и делопроизводства Министерства в соответствии с правилами, установленными законодательством, были размещены на официальном сайте Министерства сведения о доходах, имуществе и обязательствах имущественного характера министра, заместителей министра и руководителей подведомственных учреждений Министерства.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министра был проведен анализ сведений о доходах, расходах, об имуществе и обязательствах имущественного характера государственных гражданских служащих Республики Дагестан в Министерстве и руководителей подведомственных учреждений Министерства, а также их супругов и несовершеннолетних детей. По результатам анализа государственными гражданскими служащими Республики Дагестан в Министерстве и руководителями подведомственных учреждений Министерства были представлены пояснения к заключениям по выявленным несоответствиям. Материалы проведенного анализа подлежат рассмотрению на комиссии по соблюдению требований к служебному 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 и урегулированию конфликта интересов Министерства для принятия решения о необходимости применения дисциплинарных взысканий за выявленные нарушения.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осуществляются ежегодные проверки соблюдения государственными служащими Министерства требований к служебному поведению, предусмотренных законодательством о государственной службе, в частности,  уполномоченным лицом отдела государственной службы и делопроизводства Министерства осуществляется ежегодная проверка на предмет участия государственных гражданских служащих Министерства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 Также указанная проверка проводилась при анализе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Министерстве осуществляется ежегодная актуализация карты коррупционных рисков по результатам которой вносятся изменения в  перечень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обеспечивается действенное функционирование комиссий Министерства: по противодействию коррупции; по соблюдению требований к служебному поведению и урегулированию конфликта интересов. Заседания комиссии по противодействию коррупции проводятся ежеквартально; комиссии по соблюдению требований к служебному поведению и урегулированию конфликта интересов по мере необходимости (1 заседание в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2019 г.).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обеспечивается открытость деятельности комиссии по противодействию коррупции в Министерстве, в частности, в состав комиссии включен представитель общественного совета при Министерстве, также ежегодные отчеты о реализации мер по противодействию коррупции, рассмотренные на заседаниях комиссии, публикуются на официальном сайте Министерства.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ведется анализ должностных регламентов государственных гражданских служащих Республики Дагестан в Министерстве, по мере необходимости вносятся изменения.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была проведена оценка эффективности деятельности Министерства в сфере противодействия коррупции, кроме того в целях проведения социологических исследований в Министерстве была разработана анкета по оценке уровня коррупции в сфере культуры. Разработанная анкета по оценке уровня коррупции в сфере культуры размещена и доступна к прохождению на официальном сайте Министерства. Также на официальном сайте Министерства был размещен опрос, направленный на оценку работы, проводимой Министерством в сфере 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 в 2019 году, в соответствии с которой 96,3 % респондентов дали высокую оценку уровню работы по противодействию коррупции, проводимой в Министерстве.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Министерством осуществляется комплекс организационных, разъяснительных и иных мер по предупреждению коррупции в подведомственных учреждениях Министерства, в частности, осуществляется методическое обеспечение, проведение семинар-совещаний и консультирования по вопросам противодействия коррупции.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6 декабря 2019 г. в 11:00 ч. в конференц – зале Министерства культуры Республики Дагестан состоялся семинар – совещание с руководителями подведомственных учреждений под председательством первого заместителя министра Телякавова М.П. В совещании также приняли участие: статс- секретарь - заместитель министра Гаджиев М.Х., начальник отдела государственной службы и делопроизводства Мугадова З.К., помощник министра Юсупова А.И. и должностное лицо, ответственное за профилактику коррупционных и иных правонарушений в Министерстве культуры Республики Дагестан – консультант отдела государственной службы и делопроизводства Гаджиева З.Г. В ходе проведения семинара – совещания были обсуждены вопросы, посвященные состоянию антикоррупционной работы в подведомственных учреждениях Министерства культуры Республики Дагестан и предстоящей декларационной кампании. В частности, руководителям подведомственных учреждений были разъяснены правила и порядок заполнения сведений о доходах, расходах,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и нормы законодательства в части ответственности за коррупционные правонарушения.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 мероприятий, приуроченных к Международному дню борьбы с коррупцией, провели в подведомственных учреждениях Министерства, с привлечением средств массовой информации. Акции проводились в целях формирования в обществе непринятия всех форм коррупции и негативного отношения к данном явлению.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базе Национальной библиотеки Республики Дагестан им. Р. Гамзатова сотрудникам учреждения рассказали об антикоррупционной пропаганде, а также представили видеоролик по данной тематике. Кроме того, учащимся столичной гимназии №33 провели беседу на тему «Будь умнее: выбирай знания, не ищи легких путей». Студентам Дагестанского художественного училища им. М. А. Джемала также рассказали о борьбе с коррупцией. В свою очередь учащиеся представили свои рисунки на антикоррупционную тематику. Завершился цикл мероприятий в Театре поэзии, участниками которого стали студенты Дагестанского государственного университета.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рамках утвержденного совместно с Министерством юстиции Республики Дагестан планом мероприятий на 2019 г., направленных на формирование у населения правовой культуры, уважительного отношения к закону, обеспечивается участие представителя Министерства в данных мероприятиях.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порядком проведения антикоррупционной экспертизы нормативных правовых актов, проектов нормативных правовых актов и иных документов Министерства, утвержденным приказом Министерства, проводится антикоррупционная экспертиза нормативных правовых актов, проектов нормативных правовых актов и иных документов Министерства, по результатам которого уполномоченным должностным лицом дается заключение о наличии или отсутствии в проектах нормативных правовых актов коррупциогенных факторов. С целью систематизации и контроля данного процесса ведется журнал учета нормативных правовых актов и проектов нормативных правовых актов, поступивших на антикоррупционную экспертизу.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целях проведения независимой антикоррупционной экспертизы проекты нормативных правовых актов, подготавливаемых Министерством, размещаются на официальном сайте Министерства (www.minkult.e-dag.ru) в подразделе «Проекты правовых актов» раздела «Документы». За отчетный период была проведена антикоррупционная экспертиза 21 проекта нормативных правовых актов Министерства. Кроме того, проекты нормативных правовых актов Министерства направляются в Прокуратуру Республики Дагестан для проведения антикоррупционной экспертизы. 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информация о конкурсе размещается на официальном сайте Министерства, республиканском портале государственной службы и кадров,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конкурсов, утвержденной постановлением Правительства от 31.03.2018 г.       № 397. Кроме того, проводится анализ сведений о доходах, имуществе и обязательствах имущественного характера кандидатов на замещение вакантных должностей.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квалификации помощника министра по вопросам противодействия коррупции обеспечивается его участие в семинарах – совещаниях, конференциях по актуальным вопросам применения законодательства Российской Федерации о противодействии коррупции. Кроме того, во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2019 г. помощник министра по вопросам противодействия коррупции прошел курсы повышения квалификации в Российской академии народного хозяйства и государственной службы при Президенте РФ по программе «Функции подразделений федеральных государственных органов по профилактике коррупционных и иных правонарушений».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обеспечивается действенное функционирование Общественного совета при Министерстве, кроме того, представители общественности включены в составы конкурсных и аттестационных комиссий, в 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комиссию по противодействию коррупции и комиссию по соблюдению требований к служебному поведению и урегулирования конфликта интересов.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официальном сайте Министерства информационно-телекоммуникационной сети «Интернет» (www.minkult.e-dag.ru) в разделе «Противодействие коррупции» в соответствии с требованиями, установленными приказом Министерства труда и социальной защиты Российской Федерации от 07. 10. 2013 г. № 530 н.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и подведомственных Министерству учреждениях установлены специализированные ящики «Для обращений граждан по вопросам коррупции», организована работа рабочей группы Министерства по регистрации и предварительному рассмотрению обращений граждан, ежеквартально производится вскрытие специализированных ящиков. Выемка обращений за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г. производилась в апреле 2019 г. Выемка обращений за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г. производилась в июле 2019 г. Выемка обращений за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г. производилась в октябре 2019г. Выемка обращений за </w:t>
      </w:r>
      <w:r w:rsidRPr="00765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производилась в феврале 2020 г. Кроме того, на официальном сайте Министерства размещена информация об обратной связи для сообщений о фактах коррупции («телефон доверия», адрес электронной почты). За отчетный период обращений граждан о фактах коррупции в Министерстве и подведомственных Министерству учреждениях не поступали.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оформлен и поддерживается в актуальном состоянии специальный информационный стенд с информацией антикоррупционного содержания.</w:t>
      </w:r>
    </w:p>
    <w:p w:rsidR="00765703" w:rsidRPr="00765703" w:rsidRDefault="00765703" w:rsidP="00765703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закупки в Министерстве проводятся посредством использования Единой информационной системы в сфере закупок (</w:t>
      </w:r>
      <w:hyperlink r:id="rId4" w:history="1"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http://zakupki.gov.ru/epz/main/public/home.html</w:t>
        </w:r>
      </w:hyperlink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Биржевой площадки Республики Дагестан (</w:t>
      </w:r>
      <w:hyperlink r:id="rId5" w:history="1"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http://bp-dag.zakazrf.ru</w:t>
        </w:r>
      </w:hyperlink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финансово – хозяйственным отделом Министерства в строгом соответствии с Федеральным законом от 05.04.2013 г. № 44 –ФЗ «О контрактной системе в сфере закупок товаров, работ, услуг для обеспечения государственных и муниципальных нужд». План - график размещения заказа на 2019 г. опубликован на общероссийском официальном сайте (www.zakupki.gov.ru). В целях усиления общественного контроля в сфере закупок, план – график был также опубликован на официальном сайте Министерства  (</w:t>
      </w:r>
      <w:hyperlink r:id="rId6" w:history="1"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minkult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dag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65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5703" w:rsidRPr="00765703" w:rsidRDefault="00765703" w:rsidP="00765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 17 закупок. Экономия по данным закупкам составила 923 811 рублей</w:t>
      </w:r>
    </w:p>
    <w:p w:rsidR="00765703" w:rsidRPr="00765703" w:rsidRDefault="00765703" w:rsidP="00765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3005"/>
        <w:gridCol w:w="1276"/>
        <w:gridCol w:w="1276"/>
        <w:gridCol w:w="1275"/>
      </w:tblGrid>
      <w:tr w:rsidR="00765703" w:rsidRPr="00765703" w:rsidTr="0036567A">
        <w:trPr>
          <w:trHeight w:val="914"/>
        </w:trPr>
        <w:tc>
          <w:tcPr>
            <w:tcW w:w="2552" w:type="dxa"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>Номер извещения</w:t>
            </w:r>
          </w:p>
        </w:tc>
        <w:tc>
          <w:tcPr>
            <w:tcW w:w="1418" w:type="dxa"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>Способ определения поставщика</w:t>
            </w:r>
          </w:p>
        </w:tc>
        <w:tc>
          <w:tcPr>
            <w:tcW w:w="3005" w:type="dxa"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 xml:space="preserve">Наименование объекта закупки </w:t>
            </w:r>
          </w:p>
        </w:tc>
        <w:tc>
          <w:tcPr>
            <w:tcW w:w="1276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>Начальная цена контракта</w:t>
            </w:r>
          </w:p>
        </w:tc>
        <w:tc>
          <w:tcPr>
            <w:tcW w:w="1276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>Цена контракта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65703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№0103200008419009344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Запрос котировок в электронной форме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Поставка кресел офисных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122473,20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120 000 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№0103200008419009041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Оказание услуг по страхованию лиц, замещающих должности </w:t>
            </w:r>
            <w:r w:rsidRPr="00765703">
              <w:rPr>
                <w:rFonts w:ascii="Times New Roman" w:eastAsia="Times New Roman" w:hAnsi="Times New Roman"/>
                <w:color w:val="000000"/>
              </w:rPr>
              <w:lastRenderedPageBreak/>
              <w:t>государственной гражданской службы Республики Дагестан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  62537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29170,17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lastRenderedPageBreak/>
              <w:t>№0103200008419008523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Текущий ремонт внутренней системы отопления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186100,00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136 783,38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№0103200008419007910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Открытый конкурс в электронной форме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проектные и изыскательские работы строительство здания ГБУ «Государственный табасаранский театр»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11770000,00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10953980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№0103200008419007577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Реализация Культурно-познавательных программ для школьников 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200000,00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184 000,00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№0103200008419007419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оказание услуг по организации и проведению межрегионального культурно-образовательного проекта, направленного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250000,00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248 750,00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№0103200008419007424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оказание услуг по организации  и проведению межрегионального культурно-просветительского проекта, направленного на продвижение и популяризацию деятельности инструментального ансамбля, возрождающего  национальные исторические традиции музыкального исполнительства и своей деятельностью укрепляющего  позиции российской гражданской идентичности на основе духовно-нравственных и  культурных ценностей народов Российской Федерации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250000,00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248 750,00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№0103200008419007410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Оказание услуг по организации  и проведению фестиваля детского творчества всех жанров «Наши надежды»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300000,00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298 500,00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№0103200008419006991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Поставка оргтехники и комплектующих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245000,00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245 000,00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№0103200008419006992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Поставка, демонтаж и монтаж кондиционеров 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171900,00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171 900,00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№0303200012419000006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Поставка бюста Петра Первого 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2560000,00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2 560 000,00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№0103200008419003857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Запрос котировок в электронной форме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ПРОВЕДЕНИЕ ВЫСТАВКИ «СЛОВА КАМНЕЙ. ОПЫТ ЧТЕНИЯ И ТРАНСЛЯЦИИ НАСЛЕДИЯ КАЛА-КОРЕЙША» 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200000,00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200 000,00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№0103200008419003379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Оказание услуг по проведению фестиваля любительских творческих коллективов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300000,00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300 000,00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lastRenderedPageBreak/>
              <w:t>№0103200008419003377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Оказание услуг по организации и проведению форума "Волонтеры культуры"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200000,00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200 000,00 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№0103200008419001036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поставка офисной бумаги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132000,00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131 340,00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№0103200008419001033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 xml:space="preserve">Оказание информационных услуг 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394908,10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392 933,00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  <w:tr w:rsidR="00765703" w:rsidRPr="00765703" w:rsidTr="0036567A">
        <w:trPr>
          <w:trHeight w:val="300"/>
        </w:trPr>
        <w:tc>
          <w:tcPr>
            <w:tcW w:w="2552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№0103200008419001037</w:t>
            </w:r>
          </w:p>
        </w:tc>
        <w:tc>
          <w:tcPr>
            <w:tcW w:w="1418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Электронный аукцион</w:t>
            </w:r>
          </w:p>
        </w:tc>
        <w:tc>
          <w:tcPr>
            <w:tcW w:w="3005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Поставка бензина АИ 95</w:t>
            </w:r>
          </w:p>
        </w:tc>
        <w:tc>
          <w:tcPr>
            <w:tcW w:w="1276" w:type="dxa"/>
            <w:noWrap/>
            <w:hideMark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270000,00</w:t>
            </w:r>
          </w:p>
        </w:tc>
        <w:tc>
          <w:tcPr>
            <w:tcW w:w="1276" w:type="dxa"/>
            <w:noWrap/>
          </w:tcPr>
          <w:p w:rsidR="00765703" w:rsidRPr="00765703" w:rsidRDefault="00765703" w:rsidP="00765703">
            <w:pPr>
              <w:spacing w:line="252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270 000,00</w:t>
            </w:r>
          </w:p>
        </w:tc>
        <w:tc>
          <w:tcPr>
            <w:tcW w:w="1275" w:type="dxa"/>
          </w:tcPr>
          <w:p w:rsidR="00765703" w:rsidRPr="00765703" w:rsidRDefault="00765703" w:rsidP="00765703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65703">
              <w:rPr>
                <w:rFonts w:ascii="Times New Roman" w:eastAsia="Times New Roman" w:hAnsi="Times New Roman"/>
                <w:color w:val="000000"/>
              </w:rPr>
              <w:t>Закупка завершена</w:t>
            </w:r>
          </w:p>
        </w:tc>
      </w:tr>
    </w:tbl>
    <w:p w:rsidR="00765703" w:rsidRPr="00765703" w:rsidRDefault="00765703" w:rsidP="0076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BF" w:rsidRDefault="006C6DBF">
      <w:bookmarkStart w:id="0" w:name="_GoBack"/>
      <w:bookmarkEnd w:id="0"/>
    </w:p>
    <w:sectPr w:rsidR="006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5"/>
    <w:rsid w:val="00193985"/>
    <w:rsid w:val="006C6DBF"/>
    <w:rsid w:val="00765703"/>
    <w:rsid w:val="00B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32B7B-9042-4DE7-ABC4-3B4E1D2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765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kult.e-dag.ru" TargetMode="External"/><Relationship Id="rId5" Type="http://schemas.openxmlformats.org/officeDocument/2006/relationships/hyperlink" Target="http://bp-dag.zakazrf.ru" TargetMode="External"/><Relationship Id="rId4" Type="http://schemas.openxmlformats.org/officeDocument/2006/relationships/hyperlink" Target="http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2653</Words>
  <Characters>15128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</cp:revision>
  <dcterms:created xsi:type="dcterms:W3CDTF">2020-04-06T08:20:00Z</dcterms:created>
  <dcterms:modified xsi:type="dcterms:W3CDTF">2020-04-06T08:21:00Z</dcterms:modified>
</cp:coreProperties>
</file>