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CF" w:rsidRDefault="007856CF" w:rsidP="00CE5B1A">
      <w:pPr>
        <w:pStyle w:val="ConsPlusNonformat"/>
        <w:spacing w:line="22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E5B1A" w:rsidRPr="008913D8" w:rsidRDefault="00CE5B1A" w:rsidP="00CE5B1A">
      <w:pPr>
        <w:pStyle w:val="ConsPlusNonformat"/>
        <w:spacing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E5B1A" w:rsidRPr="008913D8" w:rsidRDefault="00CE5B1A" w:rsidP="00CE5B1A">
      <w:pPr>
        <w:pStyle w:val="ConsPlusNonformat"/>
        <w:spacing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8">
        <w:rPr>
          <w:rFonts w:ascii="Times New Roman" w:hAnsi="Times New Roman" w:cs="Times New Roman"/>
          <w:b/>
          <w:sz w:val="28"/>
          <w:szCs w:val="28"/>
        </w:rPr>
        <w:t>о реализации мероприятий по противодействию коррупции</w:t>
      </w:r>
    </w:p>
    <w:p w:rsidR="00CE5B1A" w:rsidRPr="008913D8" w:rsidRDefault="00CE5B1A" w:rsidP="00CE5B1A">
      <w:pPr>
        <w:pStyle w:val="ConsPlusNonformat"/>
        <w:spacing w:line="22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8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8913D8">
        <w:rPr>
          <w:rFonts w:ascii="Times New Roman" w:hAnsi="Times New Roman" w:cs="Times New Roman"/>
          <w:b/>
          <w:sz w:val="28"/>
          <w:szCs w:val="28"/>
        </w:rPr>
        <w:t xml:space="preserve"> г. в Министерстве культуры Республики Дагестан</w:t>
      </w:r>
    </w:p>
    <w:p w:rsidR="00CE5B1A" w:rsidRDefault="00CE5B1A" w:rsidP="00CE5B1A">
      <w:pPr>
        <w:pStyle w:val="ConsPlusNonformat"/>
        <w:spacing w:line="22" w:lineRule="atLeas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противодействию коррупции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9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Министерстве культуры Республики Дагестан (далее – Министерство) осуществлялась в соответствии с Федеральным законом от 25 декабря 2008 г. № 273 ФЗ «О противодействии коррупции», Законом Республики Дагестан от 7 апреля 2009 г. № 21 «О противодействии коррупции в Республике Дагестан», Планом противодействия коррупции Министерства культуры Республики Дагестан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год</w:t>
      </w:r>
      <w:r w:rsidRPr="008913D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приказом Министерства от </w:t>
      </w:r>
      <w:r w:rsidR="00593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марта </w:t>
      </w:r>
      <w:r w:rsidR="00C13BD7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89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bookmarkStart w:id="0" w:name="_GoBack"/>
      <w:bookmarkEnd w:id="0"/>
      <w:r w:rsidRPr="008913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Программой Министерства культуры Республики Дагестан по реализации антикоррупционной политики на 2019 – 2024 годы, утвержденной приказом Министерства культуры Республики Дагестан от 31 января 2019 г. № 25 – 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Программа).</w:t>
      </w:r>
    </w:p>
    <w:p w:rsidR="00CE5B1A" w:rsidRDefault="00CE5B1A" w:rsidP="00CE5B1A">
      <w:pPr>
        <w:pStyle w:val="a5"/>
        <w:spacing w:line="22" w:lineRule="atLeast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</w:t>
      </w:r>
      <w:r w:rsidRPr="00CE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основные мероприятия, направленные на снижение уровня коррупции и устранение причин ее возникновения путем повышения эффективности координации антикоррупционной деятельности Министерства.</w:t>
      </w:r>
    </w:p>
    <w:p w:rsidR="00CE5B1A" w:rsidRDefault="00CE5B1A" w:rsidP="00CE5B1A">
      <w:pPr>
        <w:pStyle w:val="a5"/>
        <w:spacing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ежегодно, в срок до 15 февраля года следующего за отчетным, анализируются промежуточные результаты реализации мероприятий, предусмотренных Программой и проводится оценка эффективности деятельности в сфере противодействия коррупции. </w:t>
      </w:r>
    </w:p>
    <w:p w:rsidR="00CE5B1A" w:rsidRPr="00CE5B1A" w:rsidRDefault="00CE5B1A" w:rsidP="00CE5B1A">
      <w:pPr>
        <w:pStyle w:val="a5"/>
        <w:spacing w:line="22" w:lineRule="atLeast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Информация о ходе реализации мероприятий государственной программы направляется в Администрацию Главы и Правительства Республики Дагестан, а также размещается на официальном сайте Министерства в разделе «Противодействие коррупции».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Министерством были разработаны следующие нормативные правовые акты в части противодействия коррупции:</w:t>
      </w:r>
    </w:p>
    <w:p w:rsidR="00CE5B1A" w:rsidRDefault="00CE5B1A" w:rsidP="00CE5B1A">
      <w:pPr>
        <w:pStyle w:val="af4"/>
        <w:numPr>
          <w:ilvl w:val="0"/>
          <w:numId w:val="1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от 10 февраля 2021 г. № 50-д утвержден состав Комиссии по соблюдению требований к служебному поведению государственных гражданских служащих Республики Дагестан Министерства и урегулированию конфликта интересов;</w:t>
      </w:r>
    </w:p>
    <w:p w:rsidR="00CE5B1A" w:rsidRDefault="00CE5B1A" w:rsidP="00CE5B1A">
      <w:pPr>
        <w:pStyle w:val="af4"/>
        <w:numPr>
          <w:ilvl w:val="0"/>
          <w:numId w:val="1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от 14 сентября 2021 г. № 301-од во исполнение поручения временно исполняющего обязанности Главы Республики Дагестан от 19 августа 2021 г. № 01-15-05-2/21, данного во исполнение Указа Президента Российской Федерации от 16 августа 2021 г. № 478 «О Национальном плане противодействия коррупции на 2021-2024 годы» внесены изменения в Программу;</w:t>
      </w:r>
    </w:p>
    <w:p w:rsidR="00CE5B1A" w:rsidRDefault="00CE5B1A" w:rsidP="00CE5B1A">
      <w:pPr>
        <w:pStyle w:val="af4"/>
        <w:numPr>
          <w:ilvl w:val="0"/>
          <w:numId w:val="1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от 23 сентября 2021 г. № 310-од утверждена Карта коррупционных рисков и перечня функций Министерства, при реализации которых наиболее вероятно возникновение коррупции;</w:t>
      </w:r>
    </w:p>
    <w:p w:rsidR="00CE5B1A" w:rsidRDefault="00CE5B1A" w:rsidP="00CE5B1A">
      <w:pPr>
        <w:pStyle w:val="af4"/>
        <w:numPr>
          <w:ilvl w:val="0"/>
          <w:numId w:val="1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от 28 октября 2021 г. № 361-од утвержден Порядок организации деятельности рабочей группы Министерства по регистрации и предварительному рассмотрению обращений граждан, поступающих через специализированные ящики «Для обращений граждан по вопросам коррупции» и общественные посты, сформированные в Министерстве и его подведомственных учреждениях;</w:t>
      </w:r>
    </w:p>
    <w:p w:rsidR="00CE5B1A" w:rsidRDefault="00CE5B1A" w:rsidP="00CE5B1A">
      <w:pPr>
        <w:pStyle w:val="af4"/>
        <w:numPr>
          <w:ilvl w:val="0"/>
          <w:numId w:val="1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от 28 октября 2021 г. № 358-од утверждено Положение о комиссии по противодействию коррупции в Министерстве;</w:t>
      </w:r>
    </w:p>
    <w:p w:rsidR="00CE5B1A" w:rsidRDefault="00CE5B1A" w:rsidP="00CE5B1A">
      <w:pPr>
        <w:pStyle w:val="af4"/>
        <w:numPr>
          <w:ilvl w:val="0"/>
          <w:numId w:val="1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от 23 декабря 2021 г. № 439-од утвержден Перечень должностей государственной гражданской службы Республики Дагестан в Министерстве,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обязательных имущественного характера своих супруги (супруга) и несовершеннолетних детей.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в соответствии с порядком проведения антикоррупционной экспертизы нормативных правовых актов и иных документов Министерства, утвержденным приказом Министерства, проводится антикоррупционная экспертиза нормативных правовых актов, проектов нормативных правовых актов и иных документов Министерства, по результатам которой уполномоченным должностным лицом дается заключение о наличии или отсутствии в проектах нормативных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факторов. С целью систематизации и контроля данного процесса, ведется журнал учета нормативных правовых актов и проектов нормативных правовых актов, поступивших на антикоррупционную экспертизу.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Министерства направляются в Прокуратуру Республики Дагестан для проведения антикоррупционной экспертизы. Также, в целях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 и независимой антикоррупционной экспертизы проекты нормативных правовых актов Министерства размещаются на официальном сайте Министерства в подразделе «Проекты правовых актов» раздела «Документы».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была проведена антикоррупционная экспертиза 36 проектов нормативных правовых актов Министерства.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органами, реализующими антикоррупционную политику Министерства, являются комиссия по противодействию коррупции и комиссия по соблюдению требований к служебному поведению государственных гражданских служащих Республики Дагестан и урегулированию конфликта интересов. Также в целях повышения эффективности осуществления контроля за соблюдением работниками Министерства требований законодательства Российской Федерации о противодействии коррупции учреждена должность помощника министра по вопросам противодействия коррупции. 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обеспечивается открытость деятельности комиссий, в том числе, посредством включения в их состав представителей общественного совета при Министерстве.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 2021 г. состоялось заседание комиссии по противодействию коррупции, в котором рассматривался отчет помощника министра по вопросам противодействия коррупции – Юсуповой А.И. о ходе реализации мероприятий по противодействию коррупции в Министерстве и подведомственных Министерству учреждениях за 2020 г. и истекший период 2021 г. По итогам состоявшегося заседания, результаты реализации мероприятий по противодействию коррупции в Министерстве были признаны удовлетворительными. В ближайшее время планируется организация и проведение очередного заседания комиссии</w:t>
      </w:r>
      <w:r w:rsidRPr="00CE5B1A">
        <w:t xml:space="preserve"> </w:t>
      </w:r>
      <w:r w:rsidRPr="00CE5B1A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целях анализа результатов деятельности в сфере противодействия коррупции за отчетный период.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официального сайта Министерства «Противодействие коррупции» приведен в соответствии с Едиными требованиями к размещению и наполнению разделов официальных сайтов исполнительных органов государственной власти Республики Дагестан в информационно- телекоммуникационной сети «Интернет» по вопросам противодействия коррупции, утвержденными  Указом Главы Республики Дагестан от 19 октября 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Дагестан». Министерством обеспечивается своевременное размещение на официальном сайте актуальной информации о состоянии работы по противодействию коррупции, принимаемых Министерством антикоррупционных мерах и иных информационных материалов по вопросам деятельности Министерства в данной сфере.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от 12 ноября 2018 г.№ 406-од утверждены Меры по обеспечению требований об использовании специального программного обеспечения «Справки БК» (далее – СПО «Справки БК») в Министерстве. Ответственным должностным лицом Министерства обеспечена установка, ввод в эксплуатацию и надлежащее функционирование указанного программного обеспечения. Для лиц, претендующих на замещение должностей государственной гражданской службы в Министерстве, на официальном сайте Министерства размещена ссылка для скачивания и установления СПО «Справки БК».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Ответственными должностными лицами Министерства обеспечивалось </w:t>
      </w:r>
      <w:r w:rsidRPr="00D36EE8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6EE8">
        <w:rPr>
          <w:rFonts w:ascii="Times New Roman" w:hAnsi="Times New Roman" w:cs="Times New Roman"/>
          <w:sz w:val="28"/>
          <w:szCs w:val="28"/>
        </w:rPr>
        <w:t xml:space="preserve"> об использовании специального программного обеспечения «Справки БК» в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е культуры Республики Дагестан. В ходе декларационной кампании 2019 г. – 2020 г. всеми руководителями подведомственных организаций Министерства и государственными гражданскими служащими РД в Министерстве были представлены </w:t>
      </w:r>
      <w:r w:rsidRPr="002467BA">
        <w:rPr>
          <w:rFonts w:ascii="Times New Roman" w:hAnsi="Times New Roman" w:cs="Times New Roman"/>
          <w:sz w:val="28"/>
          <w:szCs w:val="28"/>
        </w:rPr>
        <w:t xml:space="preserve">сведения о своих доходах, расходах, об имуществе и обязательствах имущественного </w:t>
      </w:r>
      <w:r w:rsidRPr="002467BA">
        <w:rPr>
          <w:rFonts w:ascii="Times New Roman" w:hAnsi="Times New Roman" w:cs="Times New Roman"/>
          <w:sz w:val="28"/>
          <w:szCs w:val="28"/>
        </w:rPr>
        <w:lastRenderedPageBreak/>
        <w:t>характера, о доходах, расходах, об имуществе и обязательствах имущественного характера своих супругов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2019 г. с использованием СПО «Справки БК».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посредством использования СПО «Справки БК» сведения о доходах, расходах, об имуществе и обязательствах имущественного характера на себя и членов их семей (далее – Сведения) за отчетный 2020 год представили 24 государственных служащих Министерства и 40 руководителей подведомственных Министерству учреждений, на себя и членов семьи.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Оснований, предусмотренных законодательством, для проведения проверок достоверности и полноты представляемых сведений о доходах, расходах, об имуществе и обязательствах имущественного характера государственных служащих Министерства, своих супруги (супруга) и несовершеннолетних детей в отчетном периоде не обнаружено.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размещены на официальном сайте Министерства в подразделе «Сведения о доходах госслужащих» раздела «Противодействие коррупции».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располагает доступом к информационным ресурсам Федеральной налоговой службы России (ЕГРЮЛ и ЕГРИП), посредством которых осуществляется проверка всех гражданских служащих Министерства, включенных в перечень должностей, замещение которых связано с коррупционными рисками, а также лиц, претендующих на замещение должностей государственной гражданской службы. За отчетный период с использованием ЕГРЮЛ и ЕРИП проанализированы данные 8 претендентов на замещение должностей государственной гражданской службы Республики Дагестан в Министерстве и данные 24 государственных гражданских служащих Министерства. Конфликт интересов отсутствует. Случаев несоблюдения государственными гражданскими служащими запретов и ограничений, а также неисполнения обязанностей, установленных в целях противодействия коррупции, не установлено.</w:t>
      </w:r>
    </w:p>
    <w:p w:rsidR="00CE5B1A" w:rsidRP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0096F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Министерстве также </w:t>
      </w:r>
      <w:r w:rsidRPr="00B0096F">
        <w:rPr>
          <w:rFonts w:ascii="Times New Roman" w:hAnsi="Times New Roman" w:cs="Times New Roman"/>
          <w:sz w:val="28"/>
          <w:szCs w:val="28"/>
        </w:rPr>
        <w:t xml:space="preserve">не выявлены </w:t>
      </w:r>
      <w:r w:rsidRPr="00B00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несоблюдения лицами, замещающими должности государственной гражданской службы Республики Дагестан требований о предотвращении и урегулировании конфликта интересов.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3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квартале 2021 г. уполномоченным должностным лицом Министерства проведены мероприятия по актуализации карты коррупционных рисков за 2021 г.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476">
        <w:rPr>
          <w:rFonts w:ascii="Times New Roman" w:hAnsi="Times New Roman" w:cs="Times New Roman"/>
          <w:sz w:val="28"/>
          <w:szCs w:val="28"/>
        </w:rPr>
        <w:t xml:space="preserve">Министерством обеспечивается соблюдение требований законодательства Российской Федерации при поступлении граждан на государственную гражданскую службу, в том числе принимаются меры по минимизации коррупционных рисков при проведении конкурсов на замещение вакантных должностей. В частности, конкурсы на замещение вакантных должностей проводятся с участием представителей Общественного совета; вся информация о конкурсе размещается на официальном сайте Министерства, республиканском портале государственной службы и кадров, федеральной государственной информационной системе «Единая информационная система </w:t>
      </w:r>
      <w:r w:rsidRPr="002E5476">
        <w:rPr>
          <w:rFonts w:ascii="Times New Roman" w:hAnsi="Times New Roman" w:cs="Times New Roman"/>
          <w:sz w:val="28"/>
          <w:szCs w:val="28"/>
        </w:rPr>
        <w:lastRenderedPageBreak/>
        <w:t>управления кадровым составом государственной гражданской службы Российской Федерации». Также Министерством был издан приказ об утверждении методики проведения конкурсов на замещение вакантных должностей в соответствии с единой методикой проведения конкурсов, утвержденной постановлением Правительства от 31.03.20</w:t>
      </w:r>
      <w:r>
        <w:rPr>
          <w:rFonts w:ascii="Times New Roman" w:hAnsi="Times New Roman" w:cs="Times New Roman"/>
          <w:sz w:val="28"/>
          <w:szCs w:val="28"/>
        </w:rPr>
        <w:t xml:space="preserve">18 г. № 397. В состав конкурсной комиссии формируется с учетом требований антикоррупционного законодательства, с обязательным включением в состав комиссии представителей общественного совета, научных и образовательных учреждений, представителей Администрации Главы и Правительства РД. 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дела государственных гражданских служащих поддерживаются в актуальном состоянии. В соответствии распоряжением Правительства Российской Федерации от 20 ноября 2019 г. № 2745-р за отчетный период актуализированы сведения в анкетах государственных гражданских служащих. Осуществлен анализ сведений, которые содержатся в анкетах на наличие возможного конфликта интересов у лиц. Нарушений не выявлено.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E5B1A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ые лица Министерства, не имеющи</w:t>
      </w:r>
      <w:r w:rsidRPr="00CE5B1A">
        <w:rPr>
          <w:rFonts w:ascii="Times New Roman" w:hAnsi="Times New Roman" w:cs="Times New Roman"/>
          <w:sz w:val="28"/>
          <w:szCs w:val="28"/>
        </w:rPr>
        <w:t>е дисциплинарных взысканий и имеющ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E5B1A">
        <w:rPr>
          <w:rFonts w:ascii="Times New Roman" w:hAnsi="Times New Roman" w:cs="Times New Roman"/>
          <w:sz w:val="28"/>
          <w:szCs w:val="28"/>
        </w:rPr>
        <w:t xml:space="preserve"> опыт плодотворной работы в сфере противодействия коррупции, награжд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CE5B1A">
        <w:rPr>
          <w:rFonts w:ascii="Times New Roman" w:hAnsi="Times New Roman" w:cs="Times New Roman"/>
          <w:sz w:val="28"/>
          <w:szCs w:val="28"/>
        </w:rPr>
        <w:t xml:space="preserve"> ведомственн</w:t>
      </w:r>
      <w:r>
        <w:rPr>
          <w:rFonts w:ascii="Times New Roman" w:hAnsi="Times New Roman" w:cs="Times New Roman"/>
          <w:sz w:val="28"/>
          <w:szCs w:val="28"/>
        </w:rPr>
        <w:t>ыми наградами</w:t>
      </w:r>
      <w:r w:rsidRPr="00CE5B1A">
        <w:rPr>
          <w:rFonts w:ascii="Times New Roman" w:hAnsi="Times New Roman" w:cs="Times New Roman"/>
          <w:sz w:val="28"/>
          <w:szCs w:val="28"/>
        </w:rPr>
        <w:t>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закупки проводятся финансово – хозяйственным отделом Министерства в строгом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 План-график размещения заказа на 2021 г. опубликован на общероссийском официальном сайте (www.zakupki.gov.ru). В целях усиления общественного контроля в сфере закупок, план - график был также опубликован на официальном сайте Министерства.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закупки проводятся посредством использования Единой информационной системы в сфере и Биржевой площадки Республики Дагестан.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минимизации коррупционных проявлений в сфере культуры ведется по следующим направлениям:</w:t>
      </w:r>
    </w:p>
    <w:p w:rsidR="00CE5B1A" w:rsidRDefault="00CE5B1A" w:rsidP="00CE5B1A">
      <w:pPr>
        <w:pStyle w:val="af4"/>
        <w:numPr>
          <w:ilvl w:val="0"/>
          <w:numId w:val="5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коррупции, когда создаются нормативные, процедурные условия, препятствующие возникновению таких рисков.</w:t>
      </w:r>
    </w:p>
    <w:p w:rsidR="00CE5B1A" w:rsidRDefault="00CE5B1A" w:rsidP="00CE5B1A">
      <w:pPr>
        <w:pStyle w:val="af4"/>
        <w:numPr>
          <w:ilvl w:val="0"/>
          <w:numId w:val="5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пропаганды, информационных и иных ресурсов гражданского общества в противодействие коррупции.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проводятся семинар-совещания антикоррупционного содержания с представителями руководителей подведомственных учреждений. Для сотрудников в Министерстве оформлен и поддерживается в актуальном состоянии специальный информационный стенд с информацией антикоррупционного содержания.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до сведения государственных служащих Министерства и руководителей подведомственных учреждений доводятся положения антикоррупционного законодательства, содержащие запрет на дарение и получение подарков. В отчетном периоде уведомлений о получении подарков не поступало.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подведомственных Министерству учреждениях ежегодно проводятся культурно - просветительские мероприятия в сфере противодействия коррупции, в том числе, приуроченные к Международному дню борьбы с коррупцией. 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целях содействия принятию и укреплению мер, направленных на более эффективное и действенное предупреждение коррупционных проявлений и борьбу с коррупцией в Министерстве и подведомственных Министерству учреждениях установлены специализированные ящики «Для обращений граждан по вопросам коррупции», организована работа рабочей группы Министерства по регистрации и предварительному рассмотрению обращений граждан, ежеквартально производится вскрытие специализированных ящиков. 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  функционирует «телефон доверия» и интернет-сайт, позволяющие гражданам сообщать об известных им фактах коррупции, причинах и условиях, способствующих их совершению. Обращений от граждан о фактах коррупции по вопросам противодействия коррупции в адрес Министерства за текущий год не поступало.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проводимого уполномоченным лицом Министерства мониторинга информации, размещенной в СМИ, сведений о коррупционных проявлениях в деятельности должностных лиц Министерств не выявлено.</w:t>
      </w:r>
    </w:p>
    <w:p w:rsidR="00CE5B1A" w:rsidRDefault="00CE5B1A" w:rsidP="00CE5B1A">
      <w:pPr>
        <w:spacing w:after="0" w:line="22" w:lineRule="atLeast"/>
        <w:ind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в профилактике коррупции играет информационная открытость государственных и муниципальных органов власти. Особенно это касается таких «контактных» ведомств как наше, когда любое принимаемое решение или действие касается практически каждого жителя.  Открытость и взаимодействие с общественными организациями позволяют быстро отреагировать на противоправные проявления. В целях информирования населения Министерством:</w:t>
      </w:r>
    </w:p>
    <w:p w:rsidR="00CE5B1A" w:rsidRDefault="00CE5B1A" w:rsidP="00CE5B1A">
      <w:pPr>
        <w:pStyle w:val="af4"/>
        <w:numPr>
          <w:ilvl w:val="0"/>
          <w:numId w:val="3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 открытый доступ к информации, размещенной на сайте Министерства «Противодействие коррупции»;</w:t>
      </w:r>
    </w:p>
    <w:p w:rsidR="00CE5B1A" w:rsidRDefault="00CE5B1A" w:rsidP="00CE5B1A">
      <w:pPr>
        <w:pStyle w:val="af4"/>
        <w:numPr>
          <w:ilvl w:val="0"/>
          <w:numId w:val="3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  функционирование «телефона   доверия» и интернет-сайта для подачи письменных обращений;</w:t>
      </w:r>
    </w:p>
    <w:p w:rsidR="00CE5B1A" w:rsidRDefault="00CE5B1A" w:rsidP="00CE5B1A">
      <w:pPr>
        <w:pStyle w:val="af4"/>
        <w:numPr>
          <w:ilvl w:val="0"/>
          <w:numId w:val="3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рассмотрение обращений, полученных из специализированных ящиков;</w:t>
      </w:r>
    </w:p>
    <w:p w:rsidR="00CE5B1A" w:rsidRDefault="00CE5B1A" w:rsidP="00CE5B1A">
      <w:pPr>
        <w:pStyle w:val="af4"/>
        <w:numPr>
          <w:ilvl w:val="0"/>
          <w:numId w:val="3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действенное функционирование Общественного совета при Министерстве;</w:t>
      </w:r>
    </w:p>
    <w:p w:rsidR="00CE5B1A" w:rsidRDefault="00CE5B1A" w:rsidP="00CE5B1A">
      <w:pPr>
        <w:pStyle w:val="af4"/>
        <w:numPr>
          <w:ilvl w:val="0"/>
          <w:numId w:val="3"/>
        </w:numPr>
        <w:spacing w:after="0" w:line="22" w:lineRule="atLeast"/>
        <w:ind w:left="567" w:right="-14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общественности включаются в составы конкурсных и аттестационных комиссий, в комиссию по противодействию коррупции и комиссию по соблюдению требований к служебному поведению и урегулирования конфликта интересов.</w:t>
      </w:r>
    </w:p>
    <w:p w:rsidR="0018459A" w:rsidRPr="00CE5B1A" w:rsidRDefault="008F4BDF" w:rsidP="00CE5B1A">
      <w:pPr>
        <w:pStyle w:val="af4"/>
        <w:spacing w:after="0" w:line="22" w:lineRule="atLeast"/>
        <w:ind w:left="0" w:right="-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B1A">
        <w:rPr>
          <w:rFonts w:ascii="Times New Roman" w:hAnsi="Times New Roman" w:cs="Times New Roman"/>
          <w:sz w:val="28"/>
          <w:szCs w:val="28"/>
        </w:rPr>
        <w:t>Для реализации указанных мероприятий</w:t>
      </w:r>
      <w:r w:rsidR="007F3C0C" w:rsidRPr="00CE5B1A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CE5B1A">
        <w:rPr>
          <w:rFonts w:ascii="Times New Roman" w:hAnsi="Times New Roman" w:cs="Times New Roman"/>
          <w:sz w:val="28"/>
          <w:szCs w:val="28"/>
        </w:rPr>
        <w:t xml:space="preserve"> Программой не предусмотрено финансирование (за счет средств республиканского бюджета Республики Дагестан).</w:t>
      </w:r>
    </w:p>
    <w:p w:rsidR="008F4BDF" w:rsidRPr="008F4BDF" w:rsidRDefault="008F4BDF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6EA6" w:rsidRDefault="00C66EA6" w:rsidP="00CE5B1A">
      <w:pPr>
        <w:pStyle w:val="a5"/>
        <w:spacing w:line="2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F80" w:rsidRDefault="00C15F80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EA6" w:rsidRDefault="00C66EA6" w:rsidP="00CE5B1A">
      <w:pPr>
        <w:pStyle w:val="a5"/>
        <w:spacing w:line="22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345" w:rsidRPr="00B0096F" w:rsidRDefault="00056345" w:rsidP="00CE5B1A">
      <w:pPr>
        <w:spacing w:after="0" w:line="22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56345" w:rsidRPr="00B0096F" w:rsidSect="00CD0E3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6BB" w:rsidRDefault="003A36BB" w:rsidP="005B4E71">
      <w:pPr>
        <w:spacing w:after="0" w:line="240" w:lineRule="auto"/>
      </w:pPr>
      <w:r>
        <w:separator/>
      </w:r>
    </w:p>
  </w:endnote>
  <w:endnote w:type="continuationSeparator" w:id="0">
    <w:p w:rsidR="003A36BB" w:rsidRDefault="003A36BB" w:rsidP="005B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333"/>
      <w:docPartObj>
        <w:docPartGallery w:val="Page Numbers (Bottom of Page)"/>
        <w:docPartUnique/>
      </w:docPartObj>
    </w:sdtPr>
    <w:sdtEndPr/>
    <w:sdtContent>
      <w:p w:rsidR="004405CC" w:rsidRDefault="001319EC">
        <w:pPr>
          <w:pStyle w:val="ac"/>
          <w:jc w:val="right"/>
        </w:pPr>
        <w:r>
          <w:fldChar w:fldCharType="begin"/>
        </w:r>
        <w:r w:rsidR="004405CC">
          <w:instrText>PAGE   \* MERGEFORMAT</w:instrText>
        </w:r>
        <w:r>
          <w:fldChar w:fldCharType="separate"/>
        </w:r>
        <w:r w:rsidR="005938C3">
          <w:rPr>
            <w:noProof/>
          </w:rPr>
          <w:t>7</w:t>
        </w:r>
        <w:r>
          <w:fldChar w:fldCharType="end"/>
        </w:r>
      </w:p>
    </w:sdtContent>
  </w:sdt>
  <w:p w:rsidR="004405CC" w:rsidRDefault="004405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6BB" w:rsidRDefault="003A36BB" w:rsidP="005B4E71">
      <w:pPr>
        <w:spacing w:after="0" w:line="240" w:lineRule="auto"/>
      </w:pPr>
      <w:r>
        <w:separator/>
      </w:r>
    </w:p>
  </w:footnote>
  <w:footnote w:type="continuationSeparator" w:id="0">
    <w:p w:rsidR="003A36BB" w:rsidRDefault="003A36BB" w:rsidP="005B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1637"/>
    <w:multiLevelType w:val="hybridMultilevel"/>
    <w:tmpl w:val="BE9AD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7F9E"/>
    <w:multiLevelType w:val="hybridMultilevel"/>
    <w:tmpl w:val="50183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4AAD"/>
    <w:multiLevelType w:val="hybridMultilevel"/>
    <w:tmpl w:val="3B2A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511ED"/>
    <w:multiLevelType w:val="hybridMultilevel"/>
    <w:tmpl w:val="BE9AD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CF"/>
    <w:rsid w:val="00001F06"/>
    <w:rsid w:val="00034AE8"/>
    <w:rsid w:val="00036052"/>
    <w:rsid w:val="00043CB8"/>
    <w:rsid w:val="00046F72"/>
    <w:rsid w:val="00054A75"/>
    <w:rsid w:val="000560EF"/>
    <w:rsid w:val="00056345"/>
    <w:rsid w:val="00065299"/>
    <w:rsid w:val="00070A30"/>
    <w:rsid w:val="00080DFD"/>
    <w:rsid w:val="000844AB"/>
    <w:rsid w:val="00086DAE"/>
    <w:rsid w:val="00094797"/>
    <w:rsid w:val="000B48F8"/>
    <w:rsid w:val="000D064F"/>
    <w:rsid w:val="000F482A"/>
    <w:rsid w:val="000F733C"/>
    <w:rsid w:val="00106326"/>
    <w:rsid w:val="00112871"/>
    <w:rsid w:val="00114439"/>
    <w:rsid w:val="0012193F"/>
    <w:rsid w:val="001300BE"/>
    <w:rsid w:val="001319EC"/>
    <w:rsid w:val="00134158"/>
    <w:rsid w:val="00145B6E"/>
    <w:rsid w:val="0017437C"/>
    <w:rsid w:val="0018459A"/>
    <w:rsid w:val="00190306"/>
    <w:rsid w:val="001B4270"/>
    <w:rsid w:val="001D205E"/>
    <w:rsid w:val="001D32AE"/>
    <w:rsid w:val="001E08A8"/>
    <w:rsid w:val="001F1E6D"/>
    <w:rsid w:val="00232CC4"/>
    <w:rsid w:val="00235457"/>
    <w:rsid w:val="00242D81"/>
    <w:rsid w:val="0024660A"/>
    <w:rsid w:val="002467BA"/>
    <w:rsid w:val="00251A54"/>
    <w:rsid w:val="002603D8"/>
    <w:rsid w:val="002646C9"/>
    <w:rsid w:val="002B07DD"/>
    <w:rsid w:val="002C3A2A"/>
    <w:rsid w:val="002D17AF"/>
    <w:rsid w:val="002E2415"/>
    <w:rsid w:val="002E5476"/>
    <w:rsid w:val="002F24AD"/>
    <w:rsid w:val="003004D4"/>
    <w:rsid w:val="00307979"/>
    <w:rsid w:val="003132B7"/>
    <w:rsid w:val="003205CC"/>
    <w:rsid w:val="00354AFA"/>
    <w:rsid w:val="003719BB"/>
    <w:rsid w:val="00395D9B"/>
    <w:rsid w:val="003A36BB"/>
    <w:rsid w:val="003B6D8A"/>
    <w:rsid w:val="003C2C8E"/>
    <w:rsid w:val="003C3009"/>
    <w:rsid w:val="003D63FD"/>
    <w:rsid w:val="003D7FE2"/>
    <w:rsid w:val="003F38D8"/>
    <w:rsid w:val="003F4ABB"/>
    <w:rsid w:val="00404937"/>
    <w:rsid w:val="00405BB5"/>
    <w:rsid w:val="00421305"/>
    <w:rsid w:val="00424406"/>
    <w:rsid w:val="0042663C"/>
    <w:rsid w:val="004277C9"/>
    <w:rsid w:val="004405CC"/>
    <w:rsid w:val="00441E5F"/>
    <w:rsid w:val="00442D43"/>
    <w:rsid w:val="004528AC"/>
    <w:rsid w:val="00454621"/>
    <w:rsid w:val="0046422F"/>
    <w:rsid w:val="00474903"/>
    <w:rsid w:val="004841B5"/>
    <w:rsid w:val="00496543"/>
    <w:rsid w:val="004C239E"/>
    <w:rsid w:val="004C25FC"/>
    <w:rsid w:val="004C5C25"/>
    <w:rsid w:val="004E4A13"/>
    <w:rsid w:val="004F6808"/>
    <w:rsid w:val="005070A5"/>
    <w:rsid w:val="005321AE"/>
    <w:rsid w:val="00542CE7"/>
    <w:rsid w:val="00545734"/>
    <w:rsid w:val="00552C2C"/>
    <w:rsid w:val="00554D51"/>
    <w:rsid w:val="005625F8"/>
    <w:rsid w:val="00577CD7"/>
    <w:rsid w:val="005804D1"/>
    <w:rsid w:val="005938C3"/>
    <w:rsid w:val="00596898"/>
    <w:rsid w:val="005A09D2"/>
    <w:rsid w:val="005A35FE"/>
    <w:rsid w:val="005B4E71"/>
    <w:rsid w:val="005B67A7"/>
    <w:rsid w:val="005D66DA"/>
    <w:rsid w:val="005E5DC3"/>
    <w:rsid w:val="005F1F8B"/>
    <w:rsid w:val="005F3E79"/>
    <w:rsid w:val="005F47E7"/>
    <w:rsid w:val="006228FA"/>
    <w:rsid w:val="00637348"/>
    <w:rsid w:val="006532D9"/>
    <w:rsid w:val="00653A8E"/>
    <w:rsid w:val="00676282"/>
    <w:rsid w:val="00681BF9"/>
    <w:rsid w:val="006B38F5"/>
    <w:rsid w:val="006B4070"/>
    <w:rsid w:val="006D5A24"/>
    <w:rsid w:val="006E0C14"/>
    <w:rsid w:val="006E1B56"/>
    <w:rsid w:val="006E2DFC"/>
    <w:rsid w:val="006E4E17"/>
    <w:rsid w:val="00704F4B"/>
    <w:rsid w:val="0072114A"/>
    <w:rsid w:val="00732414"/>
    <w:rsid w:val="00754EFC"/>
    <w:rsid w:val="00766A38"/>
    <w:rsid w:val="007770E7"/>
    <w:rsid w:val="0078163C"/>
    <w:rsid w:val="007856CF"/>
    <w:rsid w:val="007C333B"/>
    <w:rsid w:val="007D72C3"/>
    <w:rsid w:val="007F3C0C"/>
    <w:rsid w:val="007F53F7"/>
    <w:rsid w:val="00807824"/>
    <w:rsid w:val="00807832"/>
    <w:rsid w:val="00832BC6"/>
    <w:rsid w:val="00834255"/>
    <w:rsid w:val="008536C1"/>
    <w:rsid w:val="00857F8C"/>
    <w:rsid w:val="00861F9E"/>
    <w:rsid w:val="0089401C"/>
    <w:rsid w:val="00894400"/>
    <w:rsid w:val="00894ED9"/>
    <w:rsid w:val="008B0316"/>
    <w:rsid w:val="008B40C4"/>
    <w:rsid w:val="008C21B0"/>
    <w:rsid w:val="008D3173"/>
    <w:rsid w:val="008E11AE"/>
    <w:rsid w:val="008F4249"/>
    <w:rsid w:val="008F4BDF"/>
    <w:rsid w:val="00900138"/>
    <w:rsid w:val="009029E5"/>
    <w:rsid w:val="00930B99"/>
    <w:rsid w:val="009329E8"/>
    <w:rsid w:val="00955CCF"/>
    <w:rsid w:val="009606EB"/>
    <w:rsid w:val="009646F9"/>
    <w:rsid w:val="00965B5B"/>
    <w:rsid w:val="00994C4F"/>
    <w:rsid w:val="009A3332"/>
    <w:rsid w:val="009A5DC2"/>
    <w:rsid w:val="009C19D1"/>
    <w:rsid w:val="009C241C"/>
    <w:rsid w:val="009D19A0"/>
    <w:rsid w:val="009F18C0"/>
    <w:rsid w:val="00A4343D"/>
    <w:rsid w:val="00A50AD6"/>
    <w:rsid w:val="00A635C3"/>
    <w:rsid w:val="00A76B02"/>
    <w:rsid w:val="00A851D7"/>
    <w:rsid w:val="00AA248B"/>
    <w:rsid w:val="00AE6175"/>
    <w:rsid w:val="00AF6458"/>
    <w:rsid w:val="00B0096F"/>
    <w:rsid w:val="00B1543E"/>
    <w:rsid w:val="00B169A5"/>
    <w:rsid w:val="00B34E02"/>
    <w:rsid w:val="00B4132E"/>
    <w:rsid w:val="00B44180"/>
    <w:rsid w:val="00B50285"/>
    <w:rsid w:val="00B72940"/>
    <w:rsid w:val="00B92CC5"/>
    <w:rsid w:val="00B9396D"/>
    <w:rsid w:val="00BA062B"/>
    <w:rsid w:val="00BA2A4E"/>
    <w:rsid w:val="00BA3E20"/>
    <w:rsid w:val="00BB3797"/>
    <w:rsid w:val="00BB635E"/>
    <w:rsid w:val="00BB7E86"/>
    <w:rsid w:val="00BD3949"/>
    <w:rsid w:val="00C01E8F"/>
    <w:rsid w:val="00C13BD7"/>
    <w:rsid w:val="00C13D1A"/>
    <w:rsid w:val="00C15F80"/>
    <w:rsid w:val="00C24535"/>
    <w:rsid w:val="00C63056"/>
    <w:rsid w:val="00C63D5A"/>
    <w:rsid w:val="00C6424E"/>
    <w:rsid w:val="00C6605A"/>
    <w:rsid w:val="00C66EA6"/>
    <w:rsid w:val="00CC1EB6"/>
    <w:rsid w:val="00CD0E37"/>
    <w:rsid w:val="00CD64C0"/>
    <w:rsid w:val="00CE5B1A"/>
    <w:rsid w:val="00CE6FD4"/>
    <w:rsid w:val="00D15DDD"/>
    <w:rsid w:val="00D36EE8"/>
    <w:rsid w:val="00D52434"/>
    <w:rsid w:val="00D54B71"/>
    <w:rsid w:val="00D74D08"/>
    <w:rsid w:val="00D84228"/>
    <w:rsid w:val="00D84CF6"/>
    <w:rsid w:val="00DA3E9D"/>
    <w:rsid w:val="00DC00B7"/>
    <w:rsid w:val="00DC07DD"/>
    <w:rsid w:val="00DC0848"/>
    <w:rsid w:val="00DC2184"/>
    <w:rsid w:val="00DD30E0"/>
    <w:rsid w:val="00DE633D"/>
    <w:rsid w:val="00DE7F6B"/>
    <w:rsid w:val="00DF5BB2"/>
    <w:rsid w:val="00E019F0"/>
    <w:rsid w:val="00E24FEE"/>
    <w:rsid w:val="00E27944"/>
    <w:rsid w:val="00E37FA7"/>
    <w:rsid w:val="00E534EE"/>
    <w:rsid w:val="00E75DFA"/>
    <w:rsid w:val="00E83312"/>
    <w:rsid w:val="00E86AD3"/>
    <w:rsid w:val="00E90D09"/>
    <w:rsid w:val="00E91255"/>
    <w:rsid w:val="00E921C6"/>
    <w:rsid w:val="00EB2100"/>
    <w:rsid w:val="00EF358A"/>
    <w:rsid w:val="00F02F50"/>
    <w:rsid w:val="00F25BDE"/>
    <w:rsid w:val="00F3145C"/>
    <w:rsid w:val="00F4324F"/>
    <w:rsid w:val="00F6724F"/>
    <w:rsid w:val="00F704AC"/>
    <w:rsid w:val="00F716BB"/>
    <w:rsid w:val="00F74446"/>
    <w:rsid w:val="00F9189F"/>
    <w:rsid w:val="00F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E58C"/>
  <w15:docId w15:val="{DC5D73C8-0E31-4267-BDA6-639C5612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85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6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6EE8"/>
    <w:pPr>
      <w:spacing w:after="0" w:line="240" w:lineRule="auto"/>
    </w:pPr>
  </w:style>
  <w:style w:type="paragraph" w:styleId="a6">
    <w:name w:val="endnote text"/>
    <w:basedOn w:val="a"/>
    <w:link w:val="a7"/>
    <w:uiPriority w:val="99"/>
    <w:semiHidden/>
    <w:unhideWhenUsed/>
    <w:rsid w:val="005B4E7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B4E7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B4E71"/>
    <w:rPr>
      <w:vertAlign w:val="superscript"/>
    </w:rPr>
  </w:style>
  <w:style w:type="character" w:styleId="a9">
    <w:name w:val="Hyperlink"/>
    <w:basedOn w:val="a0"/>
    <w:uiPriority w:val="99"/>
    <w:unhideWhenUsed/>
    <w:rsid w:val="00577CD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4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05CC"/>
  </w:style>
  <w:style w:type="paragraph" w:styleId="ac">
    <w:name w:val="footer"/>
    <w:basedOn w:val="a"/>
    <w:link w:val="ad"/>
    <w:uiPriority w:val="99"/>
    <w:unhideWhenUsed/>
    <w:rsid w:val="0044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05CC"/>
  </w:style>
  <w:style w:type="character" w:styleId="ae">
    <w:name w:val="annotation reference"/>
    <w:basedOn w:val="a0"/>
    <w:uiPriority w:val="99"/>
    <w:semiHidden/>
    <w:unhideWhenUsed/>
    <w:rsid w:val="003D7F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D7F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7F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7F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7FE2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3D7FE2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CE5B1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DDDC-A389-41E3-B071-EC571365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Mar'yam</cp:lastModifiedBy>
  <cp:revision>4</cp:revision>
  <cp:lastPrinted>2021-09-27T15:17:00Z</cp:lastPrinted>
  <dcterms:created xsi:type="dcterms:W3CDTF">2022-04-15T14:17:00Z</dcterms:created>
  <dcterms:modified xsi:type="dcterms:W3CDTF">2022-04-19T07:18:00Z</dcterms:modified>
</cp:coreProperties>
</file>